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623C7" w14:textId="4C7A1B33" w:rsidR="002A5938" w:rsidRDefault="00000000">
      <w:pPr>
        <w:spacing w:line="312" w:lineRule="auto"/>
        <w:jc w:val="right"/>
        <w:rPr>
          <w:rFonts w:ascii="Titillium Web" w:eastAsia="Titillium Web" w:hAnsi="Titillium Web" w:cs="Titillium Web"/>
          <w:sz w:val="18"/>
          <w:szCs w:val="18"/>
        </w:rPr>
      </w:pPr>
      <w:r>
        <w:rPr>
          <w:rFonts w:ascii="Titillium Web" w:eastAsia="Titillium Web" w:hAnsi="Titillium Web" w:cs="Titillium Web"/>
          <w:sz w:val="18"/>
          <w:szCs w:val="18"/>
        </w:rPr>
        <w:t>Comunicato stampa 1</w:t>
      </w:r>
      <w:r w:rsidR="00D22D6C">
        <w:rPr>
          <w:rFonts w:ascii="Titillium Web" w:eastAsia="Titillium Web" w:hAnsi="Titillium Web" w:cs="Titillium Web"/>
          <w:sz w:val="18"/>
          <w:szCs w:val="18"/>
        </w:rPr>
        <w:t>9</w:t>
      </w:r>
      <w:r>
        <w:rPr>
          <w:rFonts w:ascii="Titillium Web" w:eastAsia="Titillium Web" w:hAnsi="Titillium Web" w:cs="Titillium Web"/>
          <w:sz w:val="18"/>
          <w:szCs w:val="18"/>
        </w:rPr>
        <w:t>.12.2024</w:t>
      </w:r>
    </w:p>
    <w:p w14:paraId="2CA75233" w14:textId="77777777" w:rsidR="002A5938" w:rsidRDefault="002A5938">
      <w:pPr>
        <w:spacing w:line="312" w:lineRule="auto"/>
        <w:jc w:val="center"/>
        <w:rPr>
          <w:rFonts w:ascii="Titillium Web" w:eastAsia="Titillium Web" w:hAnsi="Titillium Web" w:cs="Titillium Web"/>
          <w:b/>
          <w:bCs/>
          <w:sz w:val="22"/>
          <w:szCs w:val="22"/>
        </w:rPr>
      </w:pPr>
    </w:p>
    <w:p w14:paraId="2A093E41" w14:textId="77777777" w:rsidR="002A5938" w:rsidRDefault="00000000" w:rsidP="00240D16">
      <w:pPr>
        <w:jc w:val="center"/>
        <w:rPr>
          <w:rFonts w:ascii="Titillium Web" w:eastAsia="Titillium Web" w:hAnsi="Titillium Web" w:cs="Titillium Web"/>
          <w:b/>
          <w:bCs/>
          <w:sz w:val="32"/>
          <w:szCs w:val="32"/>
        </w:rPr>
      </w:pPr>
      <w:r>
        <w:rPr>
          <w:rFonts w:ascii="Titillium Web" w:eastAsia="Titillium Web" w:hAnsi="Titillium Web" w:cs="Titillium Web"/>
          <w:b/>
          <w:bCs/>
          <w:sz w:val="32"/>
          <w:szCs w:val="32"/>
        </w:rPr>
        <w:t>MILANO MUSEOCITY 2025</w:t>
      </w:r>
    </w:p>
    <w:p w14:paraId="3FA60148" w14:textId="77777777" w:rsidR="002A5938" w:rsidRDefault="00000000" w:rsidP="00240D16">
      <w:pPr>
        <w:jc w:val="center"/>
        <w:rPr>
          <w:rFonts w:ascii="Titillium Web" w:eastAsia="Titillium Web" w:hAnsi="Titillium Web" w:cs="Titillium Web"/>
          <w:b/>
          <w:bCs/>
          <w:sz w:val="32"/>
          <w:szCs w:val="32"/>
        </w:rPr>
      </w:pPr>
      <w:r>
        <w:rPr>
          <w:rFonts w:ascii="Titillium Web" w:eastAsia="Titillium Web" w:hAnsi="Titillium Web" w:cs="Titillium Web"/>
          <w:b/>
          <w:bCs/>
          <w:sz w:val="32"/>
          <w:szCs w:val="32"/>
        </w:rPr>
        <w:t>2 – 8 marzo 2025</w:t>
      </w:r>
    </w:p>
    <w:p w14:paraId="3920CA10" w14:textId="2F2DAB05" w:rsidR="002A5938" w:rsidRDefault="00000000" w:rsidP="00240D16">
      <w:pPr>
        <w:jc w:val="center"/>
        <w:rPr>
          <w:rFonts w:ascii="Titillium Web" w:eastAsia="Titillium Web" w:hAnsi="Titillium Web" w:cs="Titillium Web"/>
          <w:b/>
          <w:bCs/>
          <w:sz w:val="32"/>
          <w:szCs w:val="32"/>
        </w:rPr>
      </w:pPr>
      <w:r>
        <w:rPr>
          <w:rFonts w:ascii="Titillium Web" w:eastAsia="Titillium Web" w:hAnsi="Titillium Web" w:cs="Titillium Web"/>
          <w:b/>
          <w:bCs/>
          <w:sz w:val="32"/>
          <w:szCs w:val="32"/>
        </w:rPr>
        <w:t>“Le Strade dell’Arte” - Nona edizione</w:t>
      </w:r>
    </w:p>
    <w:p w14:paraId="4B84EF97" w14:textId="77777777" w:rsidR="00EC080C" w:rsidRPr="00EC080C" w:rsidRDefault="00EC080C">
      <w:pPr>
        <w:spacing w:line="312" w:lineRule="auto"/>
        <w:jc w:val="center"/>
        <w:rPr>
          <w:rFonts w:ascii="Titillium Web" w:eastAsia="Titillium Web" w:hAnsi="Titillium Web" w:cs="Titillium Web"/>
          <w:b/>
          <w:bCs/>
          <w:sz w:val="14"/>
          <w:szCs w:val="14"/>
        </w:rPr>
      </w:pPr>
    </w:p>
    <w:p w14:paraId="52456733" w14:textId="77777777" w:rsidR="00EB3582" w:rsidRPr="00B20486" w:rsidRDefault="00EB3582" w:rsidP="00EB3582">
      <w:pPr>
        <w:spacing w:line="312" w:lineRule="auto"/>
        <w:jc w:val="center"/>
        <w:rPr>
          <w:rFonts w:ascii="Titillium Web" w:eastAsia="Titillium Web" w:hAnsi="Titillium Web" w:cs="Titillium Web"/>
          <w:b/>
          <w:bCs/>
          <w:sz w:val="14"/>
          <w:szCs w:val="14"/>
        </w:rPr>
      </w:pPr>
    </w:p>
    <w:p w14:paraId="4B94ECAA" w14:textId="77777777" w:rsidR="00EB3582" w:rsidRPr="00B20486" w:rsidRDefault="00EB3582" w:rsidP="00EB3582">
      <w:pPr>
        <w:spacing w:line="312" w:lineRule="auto"/>
        <w:jc w:val="both"/>
        <w:rPr>
          <w:rFonts w:ascii="Titillium Web" w:eastAsia="Titillium Web" w:hAnsi="Titillium Web" w:cs="Titillium Web"/>
          <w:color w:val="C00000"/>
          <w:sz w:val="21"/>
          <w:szCs w:val="21"/>
          <w:u w:color="C00000"/>
        </w:rPr>
      </w:pPr>
      <w:r w:rsidRPr="00B20486">
        <w:rPr>
          <w:rFonts w:ascii="Titillium Web" w:eastAsia="Titillium Web" w:hAnsi="Titillium Web" w:cs="Titillium Web"/>
          <w:color w:val="1C2B33"/>
          <w:sz w:val="21"/>
          <w:szCs w:val="21"/>
          <w:u w:color="1C2B33"/>
        </w:rPr>
        <w:t xml:space="preserve">Sette giorni dedicati ai Musei, alla scoperta del patrimonio di Milano, nella sua multiforme varietà: con questa novità prende il via la nona edizione di </w:t>
      </w:r>
      <w:r w:rsidRPr="00B20486">
        <w:rPr>
          <w:rFonts w:ascii="Titillium Web" w:eastAsia="Titillium Web" w:hAnsi="Titillium Web" w:cs="Titillium Web"/>
          <w:b/>
          <w:bCs/>
          <w:color w:val="1C2B33"/>
          <w:sz w:val="21"/>
          <w:szCs w:val="21"/>
          <w:u w:color="1C2B33"/>
        </w:rPr>
        <w:t xml:space="preserve">Milano </w:t>
      </w:r>
      <w:proofErr w:type="spellStart"/>
      <w:r w:rsidRPr="00B20486">
        <w:rPr>
          <w:rFonts w:ascii="Titillium Web" w:eastAsia="Titillium Web" w:hAnsi="Titillium Web" w:cs="Titillium Web"/>
          <w:b/>
          <w:bCs/>
          <w:color w:val="1C2B33"/>
          <w:sz w:val="21"/>
          <w:szCs w:val="21"/>
          <w:u w:color="1C2B33"/>
        </w:rPr>
        <w:t>MuseoCity</w:t>
      </w:r>
      <w:proofErr w:type="spellEnd"/>
      <w:r w:rsidRPr="00B20486">
        <w:rPr>
          <w:rFonts w:ascii="Titillium Web" w:eastAsia="Titillium Web" w:hAnsi="Titillium Web" w:cs="Titillium Web"/>
          <w:color w:val="1C2B33"/>
          <w:sz w:val="21"/>
          <w:szCs w:val="21"/>
          <w:u w:color="1C2B33"/>
        </w:rPr>
        <w:t xml:space="preserve">, che </w:t>
      </w:r>
      <w:r w:rsidRPr="00B20486">
        <w:rPr>
          <w:rFonts w:ascii="Titillium Web" w:eastAsia="Titillium Web" w:hAnsi="Titillium Web" w:cs="Titillium Web"/>
          <w:b/>
          <w:bCs/>
          <w:color w:val="1C2B33"/>
          <w:sz w:val="21"/>
          <w:szCs w:val="21"/>
          <w:u w:color="1C2B33"/>
        </w:rPr>
        <w:t>per la prima volta ha una durata di un’intera settimana</w:t>
      </w:r>
      <w:r w:rsidRPr="00B20486">
        <w:rPr>
          <w:rFonts w:ascii="Titillium Web" w:eastAsia="Titillium Web" w:hAnsi="Titillium Web" w:cs="Titillium Web"/>
          <w:color w:val="1C2B33"/>
          <w:sz w:val="21"/>
          <w:szCs w:val="21"/>
          <w:u w:color="1C2B33"/>
        </w:rPr>
        <w:t xml:space="preserve">, </w:t>
      </w:r>
      <w:r w:rsidRPr="00B20486">
        <w:rPr>
          <w:rFonts w:ascii="Titillium Web" w:eastAsia="Titillium Web" w:hAnsi="Titillium Web" w:cs="Titillium Web"/>
          <w:b/>
          <w:bCs/>
          <w:color w:val="1C2B33"/>
          <w:sz w:val="21"/>
          <w:szCs w:val="21"/>
          <w:u w:color="1C2B33"/>
        </w:rPr>
        <w:t>dal 2 all’8 marzo 2025</w:t>
      </w:r>
      <w:r w:rsidRPr="00B20486">
        <w:rPr>
          <w:rFonts w:ascii="Titillium Web" w:eastAsia="Titillium Web" w:hAnsi="Titillium Web" w:cs="Titillium Web"/>
          <w:color w:val="1C2B33"/>
          <w:sz w:val="21"/>
          <w:szCs w:val="21"/>
          <w:u w:color="1C2B33"/>
        </w:rPr>
        <w:t xml:space="preserve">. Il tema scelto quest’anno per l’atteso appuntamento promosso dal </w:t>
      </w:r>
      <w:r w:rsidRPr="00B20486">
        <w:rPr>
          <w:rFonts w:ascii="Titillium Web" w:eastAsia="Titillium Web" w:hAnsi="Titillium Web" w:cs="Titillium Web"/>
          <w:b/>
          <w:bCs/>
          <w:color w:val="1C2B33"/>
          <w:sz w:val="21"/>
          <w:szCs w:val="21"/>
          <w:u w:color="1C2B33"/>
        </w:rPr>
        <w:t>Comune di Milano</w:t>
      </w:r>
      <w:r w:rsidRPr="00B20486">
        <w:rPr>
          <w:rFonts w:ascii="Titillium Web" w:eastAsia="Titillium Web" w:hAnsi="Titillium Web" w:cs="Titillium Web"/>
          <w:color w:val="1C2B33"/>
          <w:sz w:val="21"/>
          <w:szCs w:val="21"/>
          <w:u w:color="1C2B33"/>
        </w:rPr>
        <w:t xml:space="preserve"> in collaborazione con l’</w:t>
      </w:r>
      <w:r w:rsidRPr="00B20486">
        <w:rPr>
          <w:rFonts w:ascii="Titillium Web" w:eastAsia="Titillium Web" w:hAnsi="Titillium Web" w:cs="Titillium Web"/>
          <w:b/>
          <w:bCs/>
          <w:color w:val="1C2B33"/>
          <w:sz w:val="21"/>
          <w:szCs w:val="21"/>
          <w:u w:color="1C2B33"/>
        </w:rPr>
        <w:t xml:space="preserve">Associazione </w:t>
      </w:r>
      <w:proofErr w:type="spellStart"/>
      <w:r w:rsidRPr="00B20486">
        <w:rPr>
          <w:rFonts w:ascii="Titillium Web" w:eastAsia="Titillium Web" w:hAnsi="Titillium Web" w:cs="Titillium Web"/>
          <w:b/>
          <w:bCs/>
          <w:color w:val="1C2B33"/>
          <w:sz w:val="21"/>
          <w:szCs w:val="21"/>
          <w:u w:color="1C2B33"/>
        </w:rPr>
        <w:t>MuseoCity</w:t>
      </w:r>
      <w:proofErr w:type="spellEnd"/>
      <w:r w:rsidRPr="00B20486">
        <w:rPr>
          <w:rFonts w:ascii="Titillium Web" w:eastAsia="Titillium Web" w:hAnsi="Titillium Web" w:cs="Titillium Web"/>
          <w:b/>
          <w:bCs/>
          <w:color w:val="1C2B33"/>
          <w:sz w:val="21"/>
          <w:szCs w:val="21"/>
          <w:u w:color="1C2B33"/>
        </w:rPr>
        <w:t xml:space="preserve"> ETS </w:t>
      </w:r>
      <w:r w:rsidRPr="00B20486">
        <w:rPr>
          <w:rFonts w:ascii="Titillium Web" w:eastAsia="Titillium Web" w:hAnsi="Titillium Web" w:cs="Titillium Web"/>
          <w:color w:val="1C2B33"/>
          <w:sz w:val="21"/>
          <w:szCs w:val="21"/>
          <w:u w:color="1C2B33"/>
        </w:rPr>
        <w:t xml:space="preserve">è “Le Strade dell’Arte”: sempre di più, infatti, con Milano </w:t>
      </w:r>
      <w:proofErr w:type="spellStart"/>
      <w:r w:rsidRPr="00B20486">
        <w:rPr>
          <w:rFonts w:ascii="Titillium Web" w:eastAsia="Titillium Web" w:hAnsi="Titillium Web" w:cs="Titillium Web"/>
          <w:color w:val="1C2B33"/>
          <w:sz w:val="21"/>
          <w:szCs w:val="21"/>
          <w:u w:color="1C2B33"/>
        </w:rPr>
        <w:t>MuseoCity</w:t>
      </w:r>
      <w:proofErr w:type="spellEnd"/>
      <w:r w:rsidRPr="00B20486">
        <w:rPr>
          <w:rFonts w:ascii="Titillium Web" w:eastAsia="Titillium Web" w:hAnsi="Titillium Web" w:cs="Titillium Web"/>
          <w:color w:val="1C2B33"/>
          <w:sz w:val="21"/>
          <w:szCs w:val="21"/>
          <w:u w:color="1C2B33"/>
        </w:rPr>
        <w:t xml:space="preserve">, musei pubblici e privati, archivi d’artista, case museo, fondazioni e musei d’impresa, si interconnettono e si aprono alla città, esponendo e </w:t>
      </w:r>
      <w:r w:rsidRPr="00B20486">
        <w:rPr>
          <w:rFonts w:ascii="Titillium Web" w:eastAsia="Titillium Web" w:hAnsi="Titillium Web" w:cs="Titillium Web"/>
          <w:b/>
          <w:bCs/>
          <w:color w:val="1C2B33"/>
          <w:sz w:val="21"/>
          <w:szCs w:val="21"/>
          <w:u w:color="1C2B33"/>
        </w:rPr>
        <w:t>valorizzando le proprie collezioni – non sempre aperte al pubblico – e, insieme, l’intero territorio metropolitano</w:t>
      </w:r>
      <w:r w:rsidRPr="00B20486">
        <w:rPr>
          <w:rFonts w:ascii="Titillium Web" w:eastAsia="Titillium Web" w:hAnsi="Titillium Web" w:cs="Titillium Web"/>
          <w:color w:val="1C2B33"/>
          <w:sz w:val="21"/>
          <w:szCs w:val="21"/>
          <w:u w:color="1C2B33"/>
        </w:rPr>
        <w:t>.</w:t>
      </w:r>
    </w:p>
    <w:p w14:paraId="2B480722" w14:textId="77777777" w:rsidR="00EB3582" w:rsidRPr="00B20486" w:rsidRDefault="00EB3582" w:rsidP="00EB3582">
      <w:pPr>
        <w:spacing w:line="312" w:lineRule="auto"/>
        <w:jc w:val="both"/>
        <w:rPr>
          <w:rFonts w:ascii="Titillium Web" w:eastAsia="Titillium Web" w:hAnsi="Titillium Web" w:cs="Titillium Web"/>
          <w:color w:val="1C2B33"/>
          <w:sz w:val="21"/>
          <w:szCs w:val="21"/>
          <w:u w:color="1C2B33"/>
        </w:rPr>
      </w:pPr>
      <w:r w:rsidRPr="00B20486">
        <w:rPr>
          <w:rFonts w:ascii="Titillium Web" w:eastAsia="Titillium Web" w:hAnsi="Titillium Web" w:cs="Titillium Web"/>
          <w:color w:val="1C2B33"/>
          <w:sz w:val="10"/>
          <w:szCs w:val="10"/>
          <w:u w:color="1C2B33"/>
        </w:rPr>
        <w:br/>
      </w:r>
      <w:r w:rsidRPr="00B20486">
        <w:rPr>
          <w:rFonts w:ascii="Titillium Web" w:eastAsia="Titillium Web" w:hAnsi="Titillium Web" w:cs="Titillium Web"/>
          <w:color w:val="1C2B33"/>
          <w:sz w:val="21"/>
          <w:szCs w:val="21"/>
          <w:u w:color="1C2B33"/>
        </w:rPr>
        <w:t xml:space="preserve">Dal 2 all’8 marzo tutto il capoluogo lombardo si racconta attraverso il suo patrimonio artistico e culturale, perché oltre alle attività speciali </w:t>
      </w:r>
      <w:r w:rsidRPr="00B20486">
        <w:rPr>
          <w:rFonts w:ascii="Titillium Web" w:eastAsia="Titillium Web" w:hAnsi="Titillium Web" w:cs="Titillium Web"/>
          <w:b/>
          <w:bCs/>
          <w:color w:val="1C2B33"/>
          <w:sz w:val="21"/>
          <w:szCs w:val="21"/>
          <w:u w:color="1C2B33"/>
        </w:rPr>
        <w:t>pensate e realizzate appositamente all’interno di musei e archivi</w:t>
      </w:r>
      <w:r w:rsidRPr="00B20486">
        <w:rPr>
          <w:rFonts w:ascii="Titillium Web" w:eastAsia="Titillium Web" w:hAnsi="Titillium Web" w:cs="Titillium Web"/>
          <w:color w:val="1C2B33"/>
          <w:sz w:val="21"/>
          <w:szCs w:val="21"/>
          <w:u w:color="1C2B33"/>
        </w:rPr>
        <w:t xml:space="preserve">, l’arte esce in strada </w:t>
      </w:r>
      <w:r w:rsidRPr="00B20486">
        <w:rPr>
          <w:rFonts w:ascii="Titillium Web" w:eastAsia="Titillium Web" w:hAnsi="Titillium Web" w:cs="Titillium Web"/>
          <w:b/>
          <w:bCs/>
          <w:color w:val="1C2B33"/>
          <w:sz w:val="21"/>
          <w:szCs w:val="21"/>
          <w:u w:color="1C2B33"/>
        </w:rPr>
        <w:t>invadendo molte vetrine</w:t>
      </w:r>
      <w:r w:rsidRPr="00B20486">
        <w:rPr>
          <w:rFonts w:ascii="Titillium Web" w:eastAsia="Titillium Web" w:hAnsi="Titillium Web" w:cs="Titillium Web"/>
          <w:color w:val="1C2B33"/>
          <w:sz w:val="21"/>
          <w:szCs w:val="21"/>
          <w:u w:color="1C2B33"/>
        </w:rPr>
        <w:t xml:space="preserve"> della città che accolgono una selezione di opere provenienti dalle collezioni museali, costruendo un dialogo tra realtà pubbliche e private e tra queste e i cittadini.</w:t>
      </w:r>
    </w:p>
    <w:p w14:paraId="054660DF" w14:textId="77777777" w:rsidR="00EB3582" w:rsidRPr="00B20486" w:rsidRDefault="00EB3582" w:rsidP="00EB3582">
      <w:pPr>
        <w:spacing w:line="312" w:lineRule="auto"/>
        <w:jc w:val="both"/>
        <w:rPr>
          <w:rFonts w:ascii="Titillium Web" w:eastAsia="Titillium Web" w:hAnsi="Titillium Web" w:cs="Titillium Web"/>
          <w:color w:val="1C2B33"/>
          <w:sz w:val="21"/>
          <w:szCs w:val="21"/>
          <w:u w:color="1C2B33"/>
        </w:rPr>
      </w:pPr>
      <w:r w:rsidRPr="00B20486">
        <w:rPr>
          <w:rFonts w:ascii="Titillium Web" w:eastAsia="Titillium Web" w:hAnsi="Titillium Web" w:cs="Titillium Web"/>
          <w:color w:val="1C2B33"/>
          <w:sz w:val="21"/>
          <w:szCs w:val="21"/>
          <w:u w:color="1C2B33"/>
        </w:rPr>
        <w:t>Parte, infatti, ufficialmente quest'anno - dopo il progetto "pilota" della scorsa edizione -, l'iniziativa “</w:t>
      </w:r>
      <w:r w:rsidRPr="00B20486">
        <w:rPr>
          <w:rFonts w:ascii="Titillium Web" w:eastAsia="Titillium Web" w:hAnsi="Titillium Web" w:cs="Titillium Web"/>
          <w:b/>
          <w:bCs/>
          <w:color w:val="1C2B33"/>
          <w:sz w:val="21"/>
          <w:szCs w:val="21"/>
          <w:u w:color="1C2B33"/>
        </w:rPr>
        <w:t>In Vetrina</w:t>
      </w:r>
      <w:r w:rsidRPr="00B20486">
        <w:rPr>
          <w:rFonts w:ascii="Titillium Web" w:eastAsia="Titillium Web" w:hAnsi="Titillium Web" w:cs="Titillium Web"/>
          <w:color w:val="1C2B33"/>
          <w:sz w:val="21"/>
          <w:szCs w:val="21"/>
          <w:u w:color="1C2B33"/>
        </w:rPr>
        <w:t xml:space="preserve">” che, grazie al coinvolgimento di gallerie d’arte e negozi, trasforma la città in un unico, grande “museo effimero” punteggiato da </w:t>
      </w:r>
      <w:r w:rsidRPr="00B20486">
        <w:rPr>
          <w:rFonts w:ascii="Titillium Web" w:eastAsia="Titillium Web" w:hAnsi="Titillium Web" w:cs="Titillium Web"/>
          <w:b/>
          <w:bCs/>
          <w:color w:val="1C2B33"/>
          <w:sz w:val="21"/>
          <w:szCs w:val="21"/>
          <w:u w:color="1C2B33"/>
        </w:rPr>
        <w:t xml:space="preserve">installazioni </w:t>
      </w:r>
      <w:r w:rsidRPr="00B20486">
        <w:rPr>
          <w:rFonts w:ascii="Titillium Web" w:eastAsia="Titillium Web" w:hAnsi="Titillium Web" w:cs="Titillium Web"/>
          <w:b/>
          <w:bCs/>
          <w:i/>
          <w:iCs/>
          <w:color w:val="1C2B33"/>
          <w:sz w:val="21"/>
          <w:szCs w:val="21"/>
          <w:u w:color="1C2B33"/>
        </w:rPr>
        <w:t>site-</w:t>
      </w:r>
      <w:proofErr w:type="spellStart"/>
      <w:r w:rsidRPr="00B20486">
        <w:rPr>
          <w:rFonts w:ascii="Titillium Web" w:eastAsia="Titillium Web" w:hAnsi="Titillium Web" w:cs="Titillium Web"/>
          <w:b/>
          <w:bCs/>
          <w:i/>
          <w:iCs/>
          <w:color w:val="1C2B33"/>
          <w:sz w:val="21"/>
          <w:szCs w:val="21"/>
          <w:u w:color="1C2B33"/>
        </w:rPr>
        <w:t>specific</w:t>
      </w:r>
      <w:proofErr w:type="spellEnd"/>
      <w:r w:rsidRPr="00B20486">
        <w:rPr>
          <w:rFonts w:ascii="Titillium Web" w:eastAsia="Titillium Web" w:hAnsi="Titillium Web" w:cs="Titillium Web"/>
          <w:color w:val="1C2B33"/>
          <w:sz w:val="21"/>
          <w:szCs w:val="21"/>
          <w:u w:color="1C2B33"/>
        </w:rPr>
        <w:t>.</w:t>
      </w:r>
    </w:p>
    <w:p w14:paraId="77FF035B" w14:textId="77777777" w:rsidR="00EB3582" w:rsidRPr="00B20486" w:rsidRDefault="00EB3582" w:rsidP="00EB3582">
      <w:pPr>
        <w:spacing w:line="312" w:lineRule="auto"/>
        <w:jc w:val="both"/>
        <w:rPr>
          <w:rFonts w:ascii="Titillium Web" w:eastAsia="Titillium Web" w:hAnsi="Titillium Web" w:cs="Titillium Web"/>
          <w:color w:val="1C2B33"/>
          <w:sz w:val="10"/>
          <w:szCs w:val="10"/>
          <w:u w:color="1C2B33"/>
        </w:rPr>
      </w:pPr>
    </w:p>
    <w:p w14:paraId="0D30AAAE" w14:textId="77777777" w:rsidR="00EB3582" w:rsidRPr="00B20486" w:rsidRDefault="00EB3582" w:rsidP="00EB3582">
      <w:pPr>
        <w:spacing w:line="312" w:lineRule="auto"/>
        <w:jc w:val="both"/>
        <w:rPr>
          <w:rFonts w:ascii="Titillium Web" w:eastAsia="Titillium Web" w:hAnsi="Titillium Web" w:cs="Titillium Web"/>
          <w:color w:val="1C2B33"/>
          <w:sz w:val="21"/>
          <w:szCs w:val="21"/>
          <w:u w:color="1C2B33"/>
        </w:rPr>
      </w:pPr>
      <w:r w:rsidRPr="00B20486">
        <w:rPr>
          <w:rFonts w:ascii="Titillium Web" w:eastAsia="Titillium Web" w:hAnsi="Titillium Web" w:cs="Titillium Web"/>
          <w:color w:val="1C2B33"/>
          <w:sz w:val="21"/>
          <w:szCs w:val="21"/>
          <w:u w:color="1C2B33"/>
        </w:rPr>
        <w:t xml:space="preserve">Dentro agli spazi museali viene invece offerta l’opportunità di </w:t>
      </w:r>
      <w:r w:rsidRPr="00B20486">
        <w:rPr>
          <w:rFonts w:ascii="Titillium Web" w:eastAsia="Titillium Web" w:hAnsi="Titillium Web" w:cs="Titillium Web"/>
          <w:b/>
          <w:bCs/>
          <w:color w:val="1C2B33"/>
          <w:sz w:val="21"/>
          <w:szCs w:val="21"/>
          <w:u w:color="1C2B33"/>
        </w:rPr>
        <w:t>ammirare opere inedite</w:t>
      </w:r>
      <w:r w:rsidRPr="00B20486">
        <w:rPr>
          <w:rFonts w:ascii="Titillium Web" w:eastAsia="Titillium Web" w:hAnsi="Titillium Web" w:cs="Titillium Web"/>
          <w:color w:val="1C2B33"/>
          <w:sz w:val="21"/>
          <w:szCs w:val="21"/>
          <w:u w:color="1C2B33"/>
        </w:rPr>
        <w:t xml:space="preserve"> o presentate in modo nuovo nell’ormai tradizionale, e molto amata dal pubblico, sezione “</w:t>
      </w:r>
      <w:r w:rsidRPr="00B20486">
        <w:rPr>
          <w:rFonts w:ascii="Titillium Web" w:eastAsia="Titillium Web" w:hAnsi="Titillium Web" w:cs="Titillium Web"/>
          <w:b/>
          <w:bCs/>
          <w:color w:val="1C2B33"/>
          <w:sz w:val="21"/>
          <w:szCs w:val="21"/>
          <w:u w:color="1C2B33"/>
        </w:rPr>
        <w:t>Museo Segreto</w:t>
      </w:r>
      <w:r w:rsidRPr="00B20486">
        <w:rPr>
          <w:rFonts w:ascii="Titillium Web" w:eastAsia="Titillium Web" w:hAnsi="Titillium Web" w:cs="Titillium Web"/>
          <w:color w:val="1C2B33"/>
          <w:sz w:val="21"/>
          <w:szCs w:val="21"/>
          <w:u w:color="1C2B33"/>
        </w:rPr>
        <w:t xml:space="preserve">”. </w:t>
      </w:r>
    </w:p>
    <w:p w14:paraId="1F1088FD" w14:textId="77777777" w:rsidR="00EB3582" w:rsidRPr="00B20486" w:rsidRDefault="00EB3582" w:rsidP="00EB3582">
      <w:pPr>
        <w:spacing w:line="312" w:lineRule="auto"/>
        <w:jc w:val="both"/>
        <w:rPr>
          <w:rFonts w:ascii="Titillium Web" w:eastAsia="Titillium Web" w:hAnsi="Titillium Web" w:cs="Titillium Web"/>
          <w:color w:val="1C2B33"/>
          <w:sz w:val="21"/>
          <w:szCs w:val="21"/>
          <w:u w:color="1C2B33"/>
        </w:rPr>
      </w:pPr>
      <w:r w:rsidRPr="00B20486">
        <w:rPr>
          <w:rFonts w:ascii="Titillium Web" w:eastAsia="Titillium Web" w:hAnsi="Titillium Web" w:cs="Titillium Web"/>
          <w:color w:val="1C2B33"/>
          <w:sz w:val="21"/>
          <w:szCs w:val="21"/>
          <w:u w:color="1C2B33"/>
        </w:rPr>
        <w:t xml:space="preserve">I migliori progetti espositivi di quest'ultima </w:t>
      </w:r>
      <w:r w:rsidRPr="00B20486">
        <w:rPr>
          <w:rFonts w:ascii="Titillium Web" w:eastAsia="Titillium Web" w:hAnsi="Titillium Web" w:cs="Titillium Web"/>
          <w:b/>
          <w:bCs/>
          <w:color w:val="1C2B33"/>
          <w:sz w:val="21"/>
          <w:szCs w:val="21"/>
          <w:u w:color="1C2B33"/>
        </w:rPr>
        <w:t>saranno premiati</w:t>
      </w:r>
      <w:r w:rsidRPr="00B20486">
        <w:rPr>
          <w:rFonts w:ascii="Titillium Web" w:eastAsia="Titillium Web" w:hAnsi="Titillium Web" w:cs="Titillium Web"/>
          <w:color w:val="1C2B33"/>
          <w:sz w:val="21"/>
          <w:szCs w:val="21"/>
          <w:u w:color="1C2B33"/>
        </w:rPr>
        <w:t xml:space="preserve"> con un progetto di illuminotecnica che ne renderà più suggestiva e coinvolgente la fruibilità da parte del pubblico.</w:t>
      </w:r>
    </w:p>
    <w:p w14:paraId="58641917" w14:textId="77777777" w:rsidR="00EB3582" w:rsidRPr="00B20486" w:rsidRDefault="00EB3582" w:rsidP="00EB3582">
      <w:pPr>
        <w:spacing w:line="312" w:lineRule="auto"/>
        <w:jc w:val="both"/>
        <w:rPr>
          <w:rFonts w:ascii="Titillium Web" w:eastAsia="Titillium Web" w:hAnsi="Titillium Web" w:cs="Titillium Web"/>
          <w:color w:val="1C2B33"/>
          <w:sz w:val="10"/>
          <w:szCs w:val="10"/>
          <w:u w:color="1C2B33"/>
        </w:rPr>
      </w:pPr>
    </w:p>
    <w:p w14:paraId="132376A1" w14:textId="77777777" w:rsidR="00EB3582" w:rsidRPr="00B20486" w:rsidRDefault="00EB3582" w:rsidP="00EB3582">
      <w:pPr>
        <w:spacing w:line="312" w:lineRule="auto"/>
        <w:jc w:val="both"/>
        <w:rPr>
          <w:rFonts w:ascii="Titillium Web" w:eastAsia="Titillium Web" w:hAnsi="Titillium Web" w:cs="Titillium Web"/>
          <w:color w:val="1C2B33"/>
          <w:sz w:val="21"/>
          <w:szCs w:val="21"/>
          <w:u w:color="1C2B33"/>
        </w:rPr>
      </w:pPr>
      <w:r w:rsidRPr="00B20486">
        <w:rPr>
          <w:rFonts w:ascii="Titillium Web" w:eastAsia="Titillium Web" w:hAnsi="Titillium Web" w:cs="Titillium Web"/>
          <w:color w:val="1C2B33"/>
          <w:sz w:val="21"/>
          <w:szCs w:val="21"/>
          <w:u w:color="1C2B33"/>
        </w:rPr>
        <w:t xml:space="preserve">Le istituzioni partecipanti avranno poi l'opportunità di sviluppare progetti speciali in occasione di ricorrenze significative per la società civile, come la Giornata Internazionale della Donna, che conclude la manifestazione l'8 marzo. In particolare, i Musei Civici di Milano offriranno approfondimenti dedicati alle tematiche legate alle celebrazioni per l’80º </w:t>
      </w:r>
      <w:proofErr w:type="gramStart"/>
      <w:r w:rsidRPr="00B20486">
        <w:rPr>
          <w:rFonts w:ascii="Titillium Web" w:eastAsia="Titillium Web" w:hAnsi="Titillium Web" w:cs="Titillium Web"/>
          <w:color w:val="1C2B33"/>
          <w:sz w:val="21"/>
          <w:szCs w:val="21"/>
          <w:u w:color="1C2B33"/>
        </w:rPr>
        <w:t>anniversario della Liberazione</w:t>
      </w:r>
      <w:proofErr w:type="gramEnd"/>
      <w:r w:rsidRPr="00B20486">
        <w:rPr>
          <w:rFonts w:ascii="Titillium Web" w:eastAsia="Titillium Web" w:hAnsi="Titillium Web" w:cs="Titillium Web"/>
          <w:color w:val="1C2B33"/>
          <w:sz w:val="21"/>
          <w:szCs w:val="21"/>
          <w:u w:color="1C2B33"/>
        </w:rPr>
        <w:t>.</w:t>
      </w:r>
    </w:p>
    <w:p w14:paraId="5937F9DF" w14:textId="77777777" w:rsidR="002A5938" w:rsidRDefault="002A5938">
      <w:pPr>
        <w:spacing w:line="312" w:lineRule="auto"/>
        <w:jc w:val="both"/>
        <w:rPr>
          <w:rFonts w:ascii="Titillium Web" w:eastAsia="Titillium Web" w:hAnsi="Titillium Web" w:cs="Titillium Web"/>
          <w:color w:val="1C2B33"/>
          <w:sz w:val="10"/>
          <w:szCs w:val="10"/>
          <w:u w:color="1C2B33"/>
        </w:rPr>
      </w:pPr>
    </w:p>
    <w:p w14:paraId="044C6FA0" w14:textId="77777777" w:rsidR="002A5938" w:rsidRDefault="00000000">
      <w:pPr>
        <w:spacing w:line="312" w:lineRule="auto"/>
        <w:jc w:val="both"/>
        <w:rPr>
          <w:rFonts w:ascii="Titillium Web" w:eastAsia="Titillium Web" w:hAnsi="Titillium Web" w:cs="Titillium Web"/>
          <w:b/>
          <w:bCs/>
          <w:sz w:val="21"/>
          <w:szCs w:val="21"/>
          <w:u w:val="single"/>
        </w:rPr>
      </w:pPr>
      <w:r>
        <w:rPr>
          <w:rFonts w:ascii="Titillium Web" w:eastAsia="Titillium Web" w:hAnsi="Titillium Web" w:cs="Titillium Web"/>
          <w:b/>
          <w:bCs/>
          <w:noProof/>
          <w:sz w:val="21"/>
          <w:szCs w:val="21"/>
        </w:rPr>
        <w:drawing>
          <wp:inline distT="0" distB="0" distL="0" distR="0" wp14:anchorId="13C32C88" wp14:editId="41902483">
            <wp:extent cx="6120130" cy="388620"/>
            <wp:effectExtent l="0" t="0" r="0" b="0"/>
            <wp:docPr id="1073741827" name="officeArt object" descr="Immagine che contiene testo, schermata, Carattere, log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7" name="Immagine che contiene testo, schermata, Carattere, logoDescrizione generata automaticamente" descr="Immagine che contiene testo, schermata, Carattere, logoDescrizione generata automaticamente"/>
                    <pic:cNvPicPr>
                      <a:picLocks noChangeAspect="1"/>
                    </pic:cNvPicPr>
                  </pic:nvPicPr>
                  <pic:blipFill>
                    <a:blip r:embed="rId6"/>
                    <a:srcRect b="85369"/>
                    <a:stretch>
                      <a:fillRect/>
                    </a:stretch>
                  </pic:blipFill>
                  <pic:spPr>
                    <a:xfrm>
                      <a:off x="0" y="0"/>
                      <a:ext cx="6120130" cy="388620"/>
                    </a:xfrm>
                    <a:prstGeom prst="rect">
                      <a:avLst/>
                    </a:prstGeom>
                    <a:ln w="12700" cap="flat">
                      <a:noFill/>
                      <a:miter lim="400000"/>
                    </a:ln>
                    <a:effectLst/>
                  </pic:spPr>
                </pic:pic>
              </a:graphicData>
            </a:graphic>
          </wp:inline>
        </w:drawing>
      </w:r>
    </w:p>
    <w:p w14:paraId="0363107D" w14:textId="66811C06" w:rsidR="002A5938" w:rsidRDefault="00000000">
      <w:pPr>
        <w:spacing w:line="312" w:lineRule="auto"/>
        <w:jc w:val="both"/>
        <w:rPr>
          <w:rFonts w:ascii="Titillium Web" w:eastAsia="Titillium Web" w:hAnsi="Titillium Web" w:cs="Titillium Web"/>
          <w:b/>
          <w:bCs/>
          <w:sz w:val="12"/>
          <w:szCs w:val="12"/>
          <w:u w:val="single"/>
        </w:rPr>
      </w:pPr>
      <w:r>
        <w:rPr>
          <w:rFonts w:ascii="Titillium Web" w:eastAsia="Titillium Web" w:hAnsi="Titillium Web" w:cs="Titillium Web"/>
          <w:noProof/>
          <w:sz w:val="21"/>
          <w:szCs w:val="21"/>
        </w:rPr>
        <w:lastRenderedPageBreak/>
        <w:drawing>
          <wp:inline distT="0" distB="0" distL="0" distR="0" wp14:anchorId="51D59DE4" wp14:editId="2FECB00F">
            <wp:extent cx="6120130" cy="1600200"/>
            <wp:effectExtent l="0" t="0" r="0" b="0"/>
            <wp:docPr id="1073741828" name="officeArt object" descr="Immagine che contiene testo, schermata, Carattere, log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8" name="Immagine che contiene testo, schermata, Carattere, logoDescrizione generata automaticamente" descr="Immagine che contiene testo, schermata, Carattere, logoDescrizione generata automaticamente"/>
                    <pic:cNvPicPr>
                      <a:picLocks noChangeAspect="1"/>
                    </pic:cNvPicPr>
                  </pic:nvPicPr>
                  <pic:blipFill>
                    <a:blip r:embed="rId7"/>
                    <a:srcRect b="41895"/>
                    <a:stretch>
                      <a:fillRect/>
                    </a:stretch>
                  </pic:blipFill>
                  <pic:spPr>
                    <a:xfrm>
                      <a:off x="0" y="0"/>
                      <a:ext cx="6120130" cy="1600200"/>
                    </a:xfrm>
                    <a:prstGeom prst="rect">
                      <a:avLst/>
                    </a:prstGeom>
                    <a:ln w="12700" cap="flat">
                      <a:noFill/>
                      <a:miter lim="400000"/>
                    </a:ln>
                    <a:effectLst/>
                  </pic:spPr>
                </pic:pic>
              </a:graphicData>
            </a:graphic>
          </wp:inline>
        </w:drawing>
      </w:r>
      <w:r>
        <w:rPr>
          <w:rFonts w:ascii="Titillium Web" w:eastAsia="Titillium Web" w:hAnsi="Titillium Web" w:cs="Titillium Web"/>
          <w:b/>
          <w:bCs/>
          <w:sz w:val="21"/>
          <w:szCs w:val="21"/>
          <w:u w:val="single"/>
        </w:rPr>
        <w:br/>
      </w:r>
    </w:p>
    <w:p w14:paraId="5D37689B" w14:textId="021D0F9D" w:rsidR="002A5938" w:rsidRDefault="00EC080C">
      <w:pPr>
        <w:spacing w:line="312" w:lineRule="auto"/>
        <w:jc w:val="both"/>
        <w:rPr>
          <w:rFonts w:ascii="Titillium Web" w:eastAsia="Titillium Web" w:hAnsi="Titillium Web" w:cs="Titillium Web"/>
          <w:b/>
          <w:bCs/>
          <w:sz w:val="21"/>
          <w:szCs w:val="21"/>
          <w:u w:val="single"/>
        </w:rPr>
      </w:pPr>
      <w:r>
        <w:rPr>
          <w:rFonts w:ascii="Titillium Web" w:eastAsia="Titillium Web" w:hAnsi="Titillium Web" w:cs="Titillium Web"/>
          <w:b/>
          <w:bCs/>
          <w:noProof/>
          <w:sz w:val="21"/>
          <w:szCs w:val="21"/>
        </w:rPr>
        <w:drawing>
          <wp:anchor distT="0" distB="0" distL="114300" distR="114300" simplePos="0" relativeHeight="251658240" behindDoc="0" locked="0" layoutInCell="1" allowOverlap="1" wp14:anchorId="0D8E3524" wp14:editId="4F07DC5A">
            <wp:simplePos x="0" y="0"/>
            <wp:positionH relativeFrom="column">
              <wp:posOffset>-19050</wp:posOffset>
            </wp:positionH>
            <wp:positionV relativeFrom="paragraph">
              <wp:posOffset>198120</wp:posOffset>
            </wp:positionV>
            <wp:extent cx="6120130" cy="182880"/>
            <wp:effectExtent l="0" t="0" r="0" b="7620"/>
            <wp:wrapSquare wrapText="bothSides"/>
            <wp:docPr id="1073741829" name="officeArt object" descr="Immagine che contiene testo, schermata, Carattere, log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9" name="Immagine che contiene testo, schermata, Carattere, logoDescrizione generata automaticamente" descr="Immagine che contiene testo, schermata, Carattere, logoDescrizione generata automaticamente"/>
                    <pic:cNvPicPr>
                      <a:picLocks noChangeAspect="1"/>
                    </pic:cNvPicPr>
                  </pic:nvPicPr>
                  <pic:blipFill>
                    <a:blip r:embed="rId6">
                      <a:extLst>
                        <a:ext uri="{28A0092B-C50C-407E-A947-70E740481C1C}">
                          <a14:useLocalDpi xmlns:a14="http://schemas.microsoft.com/office/drawing/2010/main" val="0"/>
                        </a:ext>
                      </a:extLst>
                    </a:blip>
                    <a:srcRect t="7746" b="85369"/>
                    <a:stretch>
                      <a:fillRect/>
                    </a:stretch>
                  </pic:blipFill>
                  <pic:spPr>
                    <a:xfrm>
                      <a:off x="0" y="0"/>
                      <a:ext cx="6120130" cy="18288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Pr>
          <w:rFonts w:ascii="Titillium Web" w:eastAsia="Titillium Web" w:hAnsi="Titillium Web" w:cs="Titillium Web"/>
        </w:rPr>
        <w:t>Partner</w:t>
      </w:r>
    </w:p>
    <w:p w14:paraId="31B4F998" w14:textId="3F48E821" w:rsidR="002A5938" w:rsidRDefault="00434680">
      <w:pPr>
        <w:spacing w:line="312" w:lineRule="auto"/>
        <w:jc w:val="both"/>
        <w:rPr>
          <w:rFonts w:ascii="Titillium Web" w:eastAsia="Titillium Web" w:hAnsi="Titillium Web" w:cs="Titillium Web"/>
          <w:b/>
          <w:bCs/>
          <w:sz w:val="21"/>
          <w:szCs w:val="21"/>
          <w:u w:val="single"/>
        </w:rPr>
      </w:pPr>
      <w:r w:rsidRPr="00434680">
        <w:rPr>
          <w:rFonts w:ascii="Titillium Web" w:eastAsia="Titillium Web" w:hAnsi="Titillium Web" w:cs="Titillium Web"/>
          <w:noProof/>
          <w:sz w:val="21"/>
          <w:szCs w:val="21"/>
        </w:rPr>
        <w:drawing>
          <wp:inline distT="0" distB="0" distL="0" distR="0" wp14:anchorId="6AFDFF85" wp14:editId="5D529C83">
            <wp:extent cx="6116320" cy="624840"/>
            <wp:effectExtent l="0" t="0" r="0" b="3810"/>
            <wp:docPr id="1033513384" name="Immagine 2"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13384" name="Immagine 2" descr="Immagine che contiene testo, schermata, Carattere, logo&#10;&#10;Descrizione generata automaticamente"/>
                    <pic:cNvPicPr/>
                  </pic:nvPicPr>
                  <pic:blipFill rotWithShape="1">
                    <a:blip r:embed="rId8">
                      <a:extLst>
                        <a:ext uri="{28A0092B-C50C-407E-A947-70E740481C1C}">
                          <a14:useLocalDpi xmlns:a14="http://schemas.microsoft.com/office/drawing/2010/main" val="0"/>
                        </a:ext>
                      </a:extLst>
                    </a:blip>
                    <a:srcRect t="71713" b="5583"/>
                    <a:stretch/>
                  </pic:blipFill>
                  <pic:spPr bwMode="auto">
                    <a:xfrm>
                      <a:off x="0" y="0"/>
                      <a:ext cx="6116320" cy="624840"/>
                    </a:xfrm>
                    <a:prstGeom prst="rect">
                      <a:avLst/>
                    </a:prstGeom>
                    <a:ln>
                      <a:noFill/>
                    </a:ln>
                    <a:extLst>
                      <a:ext uri="{53640926-AAD7-44D8-BBD7-CCE9431645EC}">
                        <a14:shadowObscured xmlns:a14="http://schemas.microsoft.com/office/drawing/2010/main"/>
                      </a:ext>
                    </a:extLst>
                  </pic:spPr>
                </pic:pic>
              </a:graphicData>
            </a:graphic>
          </wp:inline>
        </w:drawing>
      </w:r>
    </w:p>
    <w:p w14:paraId="06D81CA8" w14:textId="77777777" w:rsidR="002A5938" w:rsidRDefault="002A5938">
      <w:pPr>
        <w:spacing w:line="312" w:lineRule="auto"/>
        <w:jc w:val="both"/>
        <w:rPr>
          <w:rFonts w:ascii="Titillium Web" w:eastAsia="Titillium Web" w:hAnsi="Titillium Web" w:cs="Titillium Web"/>
          <w:b/>
          <w:bCs/>
          <w:sz w:val="21"/>
          <w:szCs w:val="21"/>
          <w:u w:val="single"/>
        </w:rPr>
      </w:pPr>
    </w:p>
    <w:p w14:paraId="55F1B536" w14:textId="77777777" w:rsidR="00EC080C" w:rsidRDefault="00EC080C" w:rsidP="00EC080C">
      <w:pPr>
        <w:spacing w:line="312" w:lineRule="auto"/>
        <w:jc w:val="both"/>
        <w:rPr>
          <w:sz w:val="21"/>
          <w:szCs w:val="21"/>
        </w:rPr>
      </w:pPr>
      <w:r>
        <w:rPr>
          <w:rFonts w:ascii="Titillium Web" w:eastAsia="Titillium Web" w:hAnsi="Titillium Web" w:cs="Titillium Web"/>
          <w:b/>
          <w:bCs/>
          <w:sz w:val="21"/>
          <w:szCs w:val="21"/>
          <w:u w:val="single"/>
        </w:rPr>
        <w:t>Info al pubblico</w:t>
      </w:r>
      <w:r>
        <w:rPr>
          <w:rFonts w:ascii="Titillium Web" w:eastAsia="Titillium Web" w:hAnsi="Titillium Web" w:cs="Titillium Web"/>
          <w:b/>
          <w:bCs/>
          <w:sz w:val="21"/>
          <w:szCs w:val="21"/>
        </w:rPr>
        <w:tab/>
      </w:r>
      <w:r>
        <w:rPr>
          <w:rFonts w:ascii="Titillium Web" w:eastAsia="Titillium Web" w:hAnsi="Titillium Web" w:cs="Titillium Web"/>
          <w:b/>
          <w:bCs/>
          <w:sz w:val="21"/>
          <w:szCs w:val="21"/>
        </w:rPr>
        <w:tab/>
      </w:r>
      <w:r>
        <w:rPr>
          <w:rFonts w:ascii="Titillium Web" w:eastAsia="Titillium Web" w:hAnsi="Titillium Web" w:cs="Titillium Web"/>
          <w:color w:val="0000FF"/>
          <w:sz w:val="21"/>
          <w:szCs w:val="21"/>
          <w:u w:val="single" w:color="0000FF"/>
        </w:rPr>
        <w:t>info@museocity.it</w:t>
      </w:r>
      <w:r>
        <w:rPr>
          <w:rFonts w:ascii="Titillium Web" w:eastAsia="Titillium Web" w:hAnsi="Titillium Web" w:cs="Titillium Web"/>
          <w:sz w:val="21"/>
          <w:szCs w:val="21"/>
        </w:rPr>
        <w:t xml:space="preserve"> | </w:t>
      </w:r>
      <w:r>
        <w:rPr>
          <w:rFonts w:ascii="Titillium Web" w:eastAsia="Titillium Web" w:hAnsi="Titillium Web" w:cs="Titillium Web"/>
          <w:color w:val="0000FF"/>
          <w:sz w:val="21"/>
          <w:szCs w:val="21"/>
          <w:u w:val="single" w:color="0000FF"/>
        </w:rPr>
        <w:t>www.museocity.it</w:t>
      </w:r>
      <w:r>
        <w:rPr>
          <w:rFonts w:ascii="Titillium Web" w:eastAsia="Titillium Web" w:hAnsi="Titillium Web" w:cs="Titillium Web"/>
          <w:sz w:val="21"/>
          <w:szCs w:val="21"/>
        </w:rPr>
        <w:t xml:space="preserve"> </w:t>
      </w:r>
    </w:p>
    <w:p w14:paraId="34C1B30F" w14:textId="77777777" w:rsidR="00EC080C" w:rsidRPr="00EB3582" w:rsidRDefault="00EC080C" w:rsidP="00EC080C">
      <w:pPr>
        <w:spacing w:line="312" w:lineRule="auto"/>
        <w:rPr>
          <w:rFonts w:ascii="Titillium Web" w:eastAsia="Titillium Web" w:hAnsi="Titillium Web" w:cs="Titillium Web"/>
          <w:color w:val="1C2B33"/>
          <w:sz w:val="21"/>
          <w:szCs w:val="21"/>
          <w:u w:color="1C2B33"/>
          <w:lang w:val="en-US"/>
        </w:rPr>
      </w:pPr>
      <w:r>
        <w:rPr>
          <w:rFonts w:ascii="Titillium Web" w:eastAsia="Titillium Web" w:hAnsi="Titillium Web" w:cs="Titillium Web"/>
          <w:b/>
          <w:bCs/>
          <w:sz w:val="21"/>
          <w:szCs w:val="21"/>
        </w:rPr>
        <w:tab/>
      </w:r>
      <w:r>
        <w:rPr>
          <w:rFonts w:ascii="Titillium Web" w:eastAsia="Titillium Web" w:hAnsi="Titillium Web" w:cs="Titillium Web"/>
          <w:sz w:val="21"/>
          <w:szCs w:val="21"/>
        </w:rPr>
        <w:tab/>
      </w:r>
      <w:r>
        <w:rPr>
          <w:rFonts w:ascii="Titillium Web" w:eastAsia="Titillium Web" w:hAnsi="Titillium Web" w:cs="Titillium Web"/>
          <w:sz w:val="21"/>
          <w:szCs w:val="21"/>
        </w:rPr>
        <w:tab/>
      </w:r>
      <w:r>
        <w:rPr>
          <w:rFonts w:ascii="Titillium Web" w:eastAsia="Titillium Web" w:hAnsi="Titillium Web" w:cs="Titillium Web"/>
          <w:sz w:val="21"/>
          <w:szCs w:val="21"/>
          <w:lang w:val="en-US"/>
        </w:rPr>
        <w:t>IG @museocity | FB @museocity | LinkedIn @Associazione MuseoCity</w:t>
      </w:r>
      <w:r>
        <w:rPr>
          <w:rFonts w:ascii="Titillium Web" w:eastAsia="Titillium Web" w:hAnsi="Titillium Web" w:cs="Titillium Web"/>
          <w:sz w:val="21"/>
          <w:szCs w:val="21"/>
          <w:lang w:val="en-US"/>
        </w:rPr>
        <w:br/>
      </w:r>
    </w:p>
    <w:p w14:paraId="4E39F3BC" w14:textId="77777777" w:rsidR="002A5938" w:rsidRDefault="00000000">
      <w:pPr>
        <w:spacing w:line="312" w:lineRule="auto"/>
        <w:rPr>
          <w:rFonts w:ascii="Titillium Web" w:eastAsia="Titillium Web" w:hAnsi="Titillium Web" w:cs="Titillium Web"/>
          <w:sz w:val="21"/>
          <w:szCs w:val="21"/>
        </w:rPr>
      </w:pPr>
      <w:r>
        <w:rPr>
          <w:rFonts w:ascii="Titillium Web" w:eastAsia="Titillium Web" w:hAnsi="Titillium Web" w:cs="Titillium Web"/>
          <w:b/>
          <w:bCs/>
          <w:sz w:val="21"/>
          <w:szCs w:val="21"/>
          <w:u w:val="single"/>
        </w:rPr>
        <w:t>Ufficio stampa MuseoCity</w:t>
      </w:r>
      <w:r>
        <w:rPr>
          <w:rFonts w:ascii="Titillium Web" w:eastAsia="Titillium Web" w:hAnsi="Titillium Web" w:cs="Titillium Web"/>
          <w:b/>
          <w:bCs/>
          <w:sz w:val="21"/>
          <w:szCs w:val="21"/>
        </w:rPr>
        <w:tab/>
      </w:r>
      <w:r>
        <w:rPr>
          <w:rFonts w:ascii="Titillium Web" w:eastAsia="Titillium Web" w:hAnsi="Titillium Web" w:cs="Titillium Web"/>
          <w:sz w:val="21"/>
          <w:szCs w:val="21"/>
        </w:rPr>
        <w:t>NORA comunicazione</w:t>
      </w:r>
    </w:p>
    <w:p w14:paraId="2048626B" w14:textId="77777777" w:rsidR="002A5938" w:rsidRDefault="00000000">
      <w:pPr>
        <w:spacing w:line="312" w:lineRule="auto"/>
        <w:rPr>
          <w:rFonts w:ascii="Titillium Web" w:eastAsia="Titillium Web" w:hAnsi="Titillium Web" w:cs="Titillium Web"/>
          <w:sz w:val="21"/>
          <w:szCs w:val="21"/>
        </w:rPr>
      </w:pPr>
      <w:r>
        <w:rPr>
          <w:rFonts w:ascii="Titillium Web" w:eastAsia="Titillium Web" w:hAnsi="Titillium Web" w:cs="Titillium Web"/>
          <w:sz w:val="21"/>
          <w:szCs w:val="21"/>
        </w:rPr>
        <w:tab/>
      </w:r>
      <w:r>
        <w:rPr>
          <w:rFonts w:ascii="Titillium Web" w:eastAsia="Titillium Web" w:hAnsi="Titillium Web" w:cs="Titillium Web"/>
          <w:sz w:val="21"/>
          <w:szCs w:val="21"/>
        </w:rPr>
        <w:tab/>
      </w:r>
      <w:r>
        <w:rPr>
          <w:rFonts w:ascii="Titillium Web" w:eastAsia="Titillium Web" w:hAnsi="Titillium Web" w:cs="Titillium Web"/>
          <w:sz w:val="21"/>
          <w:szCs w:val="21"/>
        </w:rPr>
        <w:tab/>
      </w:r>
      <w:r>
        <w:rPr>
          <w:rFonts w:ascii="Titillium Web" w:eastAsia="Titillium Web" w:hAnsi="Titillium Web" w:cs="Titillium Web"/>
          <w:sz w:val="21"/>
          <w:szCs w:val="21"/>
        </w:rPr>
        <w:tab/>
        <w:t>Eleonora Caracciolo - 339.8959372</w:t>
      </w:r>
    </w:p>
    <w:p w14:paraId="13F464A9" w14:textId="77777777" w:rsidR="002A5938" w:rsidRDefault="00000000">
      <w:pPr>
        <w:spacing w:line="312" w:lineRule="auto"/>
        <w:rPr>
          <w:sz w:val="21"/>
          <w:szCs w:val="21"/>
        </w:rPr>
      </w:pPr>
      <w:r>
        <w:rPr>
          <w:rFonts w:ascii="Titillium Web" w:eastAsia="Titillium Web" w:hAnsi="Titillium Web" w:cs="Titillium Web"/>
          <w:sz w:val="21"/>
          <w:szCs w:val="21"/>
        </w:rPr>
        <w:tab/>
      </w:r>
      <w:r>
        <w:rPr>
          <w:rFonts w:ascii="Titillium Web" w:eastAsia="Titillium Web" w:hAnsi="Titillium Web" w:cs="Titillium Web"/>
          <w:sz w:val="21"/>
          <w:szCs w:val="21"/>
        </w:rPr>
        <w:tab/>
      </w:r>
      <w:r>
        <w:rPr>
          <w:rFonts w:ascii="Titillium Web" w:eastAsia="Titillium Web" w:hAnsi="Titillium Web" w:cs="Titillium Web"/>
          <w:sz w:val="21"/>
          <w:szCs w:val="21"/>
        </w:rPr>
        <w:tab/>
      </w:r>
      <w:r>
        <w:rPr>
          <w:rFonts w:ascii="Titillium Web" w:eastAsia="Titillium Web" w:hAnsi="Titillium Web" w:cs="Titillium Web"/>
          <w:sz w:val="21"/>
          <w:szCs w:val="21"/>
        </w:rPr>
        <w:tab/>
        <w:t>Anastasia Marsella - 380.3079809</w:t>
      </w:r>
    </w:p>
    <w:p w14:paraId="21C66D4E" w14:textId="77777777" w:rsidR="002A5938" w:rsidRDefault="002A5938">
      <w:pPr>
        <w:spacing w:line="312" w:lineRule="auto"/>
        <w:ind w:left="2160" w:firstLine="720"/>
        <w:jc w:val="both"/>
        <w:rPr>
          <w:rStyle w:val="Nessuno"/>
          <w:rFonts w:ascii="Titillium Web" w:eastAsia="Titillium Web" w:hAnsi="Titillium Web" w:cs="Titillium Web"/>
          <w:sz w:val="21"/>
          <w:szCs w:val="21"/>
        </w:rPr>
      </w:pPr>
      <w:hyperlink r:id="rId9" w:history="1">
        <w:r>
          <w:rPr>
            <w:rStyle w:val="Hyperlink0"/>
          </w:rPr>
          <w:t>info@noracomunicazione.it</w:t>
        </w:r>
      </w:hyperlink>
      <w:r>
        <w:rPr>
          <w:rStyle w:val="Nessuno"/>
          <w:rFonts w:ascii="Titillium Web" w:eastAsia="Titillium Web" w:hAnsi="Titillium Web" w:cs="Titillium Web"/>
          <w:sz w:val="21"/>
          <w:szCs w:val="21"/>
        </w:rPr>
        <w:t xml:space="preserve"> | noracomunicazione.it </w:t>
      </w:r>
    </w:p>
    <w:p w14:paraId="545C0EDE" w14:textId="77777777" w:rsidR="002A5938" w:rsidRDefault="002A5938">
      <w:pPr>
        <w:spacing w:line="312" w:lineRule="auto"/>
        <w:rPr>
          <w:rStyle w:val="Nessuno"/>
          <w:rFonts w:ascii="Titillium Web" w:eastAsia="Titillium Web" w:hAnsi="Titillium Web" w:cs="Titillium Web"/>
          <w:b/>
          <w:bCs/>
          <w:sz w:val="21"/>
          <w:szCs w:val="21"/>
          <w:u w:val="single"/>
        </w:rPr>
      </w:pPr>
    </w:p>
    <w:p w14:paraId="6AB34A11" w14:textId="77777777" w:rsidR="002A5938" w:rsidRDefault="00000000">
      <w:pPr>
        <w:spacing w:line="312" w:lineRule="auto"/>
        <w:rPr>
          <w:rStyle w:val="Nessuno"/>
          <w:rFonts w:ascii="Titillium Web" w:eastAsia="Titillium Web" w:hAnsi="Titillium Web" w:cs="Titillium Web"/>
          <w:sz w:val="21"/>
          <w:szCs w:val="21"/>
        </w:rPr>
      </w:pPr>
      <w:r>
        <w:rPr>
          <w:rStyle w:val="Nessuno"/>
          <w:rFonts w:ascii="Titillium Web" w:eastAsia="Titillium Web" w:hAnsi="Titillium Web" w:cs="Titillium Web"/>
          <w:b/>
          <w:bCs/>
          <w:sz w:val="21"/>
          <w:szCs w:val="21"/>
          <w:u w:val="single"/>
        </w:rPr>
        <w:t>Ufficio stampa Comune di Milano</w:t>
      </w:r>
      <w:r>
        <w:rPr>
          <w:rStyle w:val="Nessuno"/>
          <w:rFonts w:ascii="Titillium Web" w:eastAsia="Titillium Web" w:hAnsi="Titillium Web" w:cs="Titillium Web"/>
          <w:b/>
          <w:bCs/>
          <w:sz w:val="21"/>
          <w:szCs w:val="21"/>
        </w:rPr>
        <w:tab/>
      </w:r>
      <w:r>
        <w:rPr>
          <w:rStyle w:val="Nessuno"/>
          <w:rFonts w:ascii="Titillium Web" w:eastAsia="Titillium Web" w:hAnsi="Titillium Web" w:cs="Titillium Web"/>
          <w:sz w:val="21"/>
          <w:szCs w:val="21"/>
        </w:rPr>
        <w:t>Elena Conenna</w:t>
      </w:r>
    </w:p>
    <w:p w14:paraId="7B2D4BD5" w14:textId="77777777" w:rsidR="002A5938" w:rsidRDefault="00000000">
      <w:pPr>
        <w:spacing w:line="312" w:lineRule="auto"/>
        <w:ind w:left="2880" w:firstLine="720"/>
      </w:pPr>
      <w:r>
        <w:rPr>
          <w:rStyle w:val="Nessuno"/>
          <w:rFonts w:ascii="Titillium Web" w:eastAsia="Titillium Web" w:hAnsi="Titillium Web" w:cs="Titillium Web"/>
          <w:sz w:val="21"/>
          <w:szCs w:val="21"/>
        </w:rPr>
        <w:t>elenamaria.conenna@comune.milano.it</w:t>
      </w:r>
    </w:p>
    <w:sectPr w:rsidR="002A5938">
      <w:headerReference w:type="default" r:id="rId10"/>
      <w:pgSz w:w="11900" w:h="16840"/>
      <w:pgMar w:top="212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15629" w14:textId="77777777" w:rsidR="009E64C3" w:rsidRDefault="009E64C3">
      <w:r>
        <w:separator/>
      </w:r>
    </w:p>
  </w:endnote>
  <w:endnote w:type="continuationSeparator" w:id="0">
    <w:p w14:paraId="7FEEE9FB" w14:textId="77777777" w:rsidR="009E64C3" w:rsidRDefault="009E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itillium Web">
    <w:panose1 w:val="00000500000000000000"/>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FC16D" w14:textId="77777777" w:rsidR="009E64C3" w:rsidRDefault="009E64C3">
      <w:r>
        <w:separator/>
      </w:r>
    </w:p>
  </w:footnote>
  <w:footnote w:type="continuationSeparator" w:id="0">
    <w:p w14:paraId="691C8E78" w14:textId="77777777" w:rsidR="009E64C3" w:rsidRDefault="009E6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4BA0A" w14:textId="77777777" w:rsidR="002A5938" w:rsidRDefault="00000000">
    <w:pPr>
      <w:tabs>
        <w:tab w:val="center" w:pos="4819"/>
        <w:tab w:val="right" w:pos="9612"/>
      </w:tabs>
    </w:pPr>
    <w:r>
      <w:rPr>
        <w:noProof/>
      </w:rPr>
      <mc:AlternateContent>
        <mc:Choice Requires="wps">
          <w:drawing>
            <wp:anchor distT="152400" distB="152400" distL="152400" distR="152400" simplePos="0" relativeHeight="251658240" behindDoc="1" locked="0" layoutInCell="1" allowOverlap="1" wp14:anchorId="5161A07B" wp14:editId="29566D52">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inline distT="0" distB="0" distL="0" distR="0" wp14:anchorId="73ACA612" wp14:editId="416C0516">
          <wp:extent cx="6120130" cy="715645"/>
          <wp:effectExtent l="0" t="0" r="0" b="0"/>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1"/>
                  <a:stretch>
                    <a:fillRect/>
                  </a:stretch>
                </pic:blipFill>
                <pic:spPr>
                  <a:xfrm>
                    <a:off x="0" y="0"/>
                    <a:ext cx="6120130" cy="71564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938"/>
    <w:rsid w:val="00240D16"/>
    <w:rsid w:val="002A5938"/>
    <w:rsid w:val="003114C4"/>
    <w:rsid w:val="003C2ADE"/>
    <w:rsid w:val="00434680"/>
    <w:rsid w:val="004F2824"/>
    <w:rsid w:val="00684584"/>
    <w:rsid w:val="009E64C3"/>
    <w:rsid w:val="00A3093F"/>
    <w:rsid w:val="00B1631D"/>
    <w:rsid w:val="00CA016E"/>
    <w:rsid w:val="00D22D6C"/>
    <w:rsid w:val="00E75D83"/>
    <w:rsid w:val="00EB3582"/>
    <w:rsid w:val="00EC08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44F7"/>
  <w15:docId w15:val="{B8899045-A808-47D1-869A-68BF822D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Titillium Web" w:eastAsia="Titillium Web" w:hAnsi="Titillium Web" w:cs="Titillium Web"/>
      <w:outline w:val="0"/>
      <w:color w:val="0563C1"/>
      <w:sz w:val="21"/>
      <w:szCs w:val="21"/>
      <w:u w:val="single" w:color="0563C1"/>
    </w:rPr>
  </w:style>
  <w:style w:type="paragraph" w:styleId="Revisione">
    <w:name w:val="Revision"/>
    <w:hidden/>
    <w:uiPriority w:val="99"/>
    <w:semiHidden/>
    <w:rsid w:val="00EC080C"/>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rPr>
  </w:style>
  <w:style w:type="paragraph" w:styleId="Intestazione">
    <w:name w:val="header"/>
    <w:basedOn w:val="Normale"/>
    <w:link w:val="IntestazioneCarattere"/>
    <w:uiPriority w:val="99"/>
    <w:unhideWhenUsed/>
    <w:rsid w:val="00EC080C"/>
    <w:pPr>
      <w:tabs>
        <w:tab w:val="center" w:pos="4819"/>
        <w:tab w:val="right" w:pos="9638"/>
      </w:tabs>
    </w:pPr>
  </w:style>
  <w:style w:type="character" w:customStyle="1" w:styleId="IntestazioneCarattere">
    <w:name w:val="Intestazione Carattere"/>
    <w:basedOn w:val="Carpredefinitoparagrafo"/>
    <w:link w:val="Intestazione"/>
    <w:uiPriority w:val="99"/>
    <w:rsid w:val="00EC080C"/>
    <w:rPr>
      <w:rFonts w:cs="Arial Unicode MS"/>
      <w:color w:val="000000"/>
      <w:u w:color="000000"/>
    </w:rPr>
  </w:style>
  <w:style w:type="paragraph" w:styleId="Pidipagina">
    <w:name w:val="footer"/>
    <w:basedOn w:val="Normale"/>
    <w:link w:val="PidipaginaCarattere"/>
    <w:uiPriority w:val="99"/>
    <w:unhideWhenUsed/>
    <w:rsid w:val="00EC080C"/>
    <w:pPr>
      <w:tabs>
        <w:tab w:val="center" w:pos="4819"/>
        <w:tab w:val="right" w:pos="9638"/>
      </w:tabs>
    </w:pPr>
  </w:style>
  <w:style w:type="character" w:customStyle="1" w:styleId="PidipaginaCarattere">
    <w:name w:val="Piè di pagina Carattere"/>
    <w:basedOn w:val="Carpredefinitoparagrafo"/>
    <w:link w:val="Pidipagina"/>
    <w:uiPriority w:val="99"/>
    <w:rsid w:val="00EC080C"/>
    <w:rPr>
      <w:rFont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noracomunica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Eleonora Caracciolo</dc:creator>
  <cp:lastModifiedBy>Anastasia Marsella</cp:lastModifiedBy>
  <cp:revision>2</cp:revision>
  <dcterms:created xsi:type="dcterms:W3CDTF">2024-12-19T10:27:00Z</dcterms:created>
  <dcterms:modified xsi:type="dcterms:W3CDTF">2024-12-19T10:27:00Z</dcterms:modified>
</cp:coreProperties>
</file>